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6A3E0F" w14:textId="77777777" w:rsidR="00251F3B" w:rsidRDefault="00251F3B" w:rsidP="00A746AD">
      <w:pPr>
        <w:spacing w:after="0"/>
        <w:rPr>
          <w:rFonts w:cstheme="minorHAnsi"/>
          <w:sz w:val="24"/>
          <w:szCs w:val="24"/>
          <w:u w:val="single"/>
        </w:rPr>
      </w:pPr>
      <w:bookmarkStart w:id="0" w:name="_GoBack"/>
      <w:bookmarkEnd w:id="0"/>
    </w:p>
    <w:p w14:paraId="1741E3CE" w14:textId="77777777" w:rsidR="00A746AD" w:rsidRPr="00A746AD" w:rsidRDefault="00A746AD" w:rsidP="00A746AD">
      <w:pPr>
        <w:spacing w:after="0"/>
        <w:rPr>
          <w:rFonts w:cstheme="minorHAnsi"/>
          <w:sz w:val="24"/>
          <w:szCs w:val="24"/>
          <w:u w:val="single"/>
        </w:rPr>
      </w:pPr>
      <w:r w:rsidRPr="00A746AD">
        <w:rPr>
          <w:rFonts w:cstheme="minorHAnsi"/>
          <w:sz w:val="24"/>
          <w:szCs w:val="24"/>
          <w:u w:val="single"/>
        </w:rPr>
        <w:t xml:space="preserve">Charge to “researchers’ group” (from spring </w:t>
      </w:r>
      <w:r w:rsidRPr="00A746AD">
        <w:rPr>
          <w:rFonts w:cstheme="minorHAnsi"/>
          <w:i/>
          <w:sz w:val="24"/>
          <w:szCs w:val="24"/>
          <w:u w:val="single"/>
        </w:rPr>
        <w:t>SAMS the Sequel</w:t>
      </w:r>
      <w:r w:rsidRPr="00A746AD">
        <w:rPr>
          <w:rFonts w:cstheme="minorHAnsi"/>
          <w:sz w:val="24"/>
          <w:szCs w:val="24"/>
          <w:u w:val="single"/>
        </w:rPr>
        <w:t xml:space="preserve"> meeting:</w:t>
      </w:r>
    </w:p>
    <w:p w14:paraId="3CBE1EDD" w14:textId="6E0C1F67" w:rsidR="00551F46" w:rsidRDefault="00A746AD">
      <w:pPr>
        <w:rPr>
          <w:rFonts w:cstheme="minorHAnsi"/>
          <w:b/>
          <w:sz w:val="24"/>
          <w:szCs w:val="24"/>
        </w:rPr>
      </w:pPr>
      <w:r>
        <w:rPr>
          <w:rFonts w:cstheme="minorHAnsi"/>
          <w:b/>
          <w:sz w:val="24"/>
          <w:szCs w:val="24"/>
        </w:rPr>
        <w:t>“</w:t>
      </w:r>
      <w:r w:rsidR="00551F46" w:rsidRPr="00A746AD">
        <w:rPr>
          <w:rFonts w:cstheme="minorHAnsi"/>
          <w:b/>
          <w:sz w:val="24"/>
          <w:szCs w:val="24"/>
        </w:rPr>
        <w:t>Develop succinct conceptual briefs around core areas (building from the attributes list) that can inform and be linked to the “high-leverage” practices work</w:t>
      </w:r>
      <w:r>
        <w:rPr>
          <w:rFonts w:cstheme="minorHAnsi"/>
          <w:b/>
          <w:sz w:val="24"/>
          <w:szCs w:val="24"/>
        </w:rPr>
        <w:t>”</w:t>
      </w:r>
    </w:p>
    <w:p w14:paraId="41DBB9AA" w14:textId="77777777" w:rsidR="00251F3B" w:rsidRPr="00A746AD" w:rsidRDefault="00251F3B">
      <w:pPr>
        <w:rPr>
          <w:rFonts w:cstheme="minorHAnsi"/>
          <w:b/>
          <w:sz w:val="24"/>
          <w:szCs w:val="24"/>
        </w:rPr>
      </w:pPr>
    </w:p>
    <w:p w14:paraId="621D9206" w14:textId="703F2F83" w:rsidR="00A746AD" w:rsidRPr="00A746AD" w:rsidRDefault="00A746AD" w:rsidP="00A746AD">
      <w:pPr>
        <w:jc w:val="center"/>
        <w:rPr>
          <w:rFonts w:cstheme="minorHAnsi"/>
          <w:b/>
          <w:sz w:val="24"/>
          <w:szCs w:val="24"/>
          <w:u w:val="single"/>
        </w:rPr>
      </w:pPr>
      <w:r w:rsidRPr="00A746AD">
        <w:rPr>
          <w:rFonts w:cstheme="minorHAnsi"/>
          <w:b/>
          <w:sz w:val="24"/>
          <w:szCs w:val="24"/>
          <w:u w:val="single"/>
        </w:rPr>
        <w:t>Task Categories with Links to “Productive Persistence” Drivers</w:t>
      </w:r>
    </w:p>
    <w:p w14:paraId="64B2CBFD" w14:textId="77777777" w:rsidR="00551F46" w:rsidRDefault="00551F46" w:rsidP="00551F46">
      <w:pPr>
        <w:rPr>
          <w:rFonts w:cstheme="minorHAnsi"/>
          <w:sz w:val="24"/>
          <w:szCs w:val="24"/>
        </w:rPr>
      </w:pPr>
      <w:r w:rsidRPr="00551F46">
        <w:rPr>
          <w:rFonts w:cstheme="minorHAnsi"/>
          <w:b/>
          <w:sz w:val="24"/>
          <w:szCs w:val="24"/>
        </w:rPr>
        <w:t>Social Psychological-Interventions</w:t>
      </w:r>
      <w:r w:rsidRPr="00551F46">
        <w:rPr>
          <w:rFonts w:cstheme="minorHAnsi"/>
          <w:sz w:val="24"/>
          <w:szCs w:val="24"/>
        </w:rPr>
        <w:t>:  These tasks are intended to shape student’s academic identity; bolster student motivation; broaden students’ perceptions of what it means to be a successful mathematics learner; or to mitigate the negative effects of, for example, stereotype threat</w:t>
      </w:r>
    </w:p>
    <w:p w14:paraId="3A48A298" w14:textId="77777777" w:rsidR="007334B1" w:rsidRPr="00551F46" w:rsidRDefault="007334B1" w:rsidP="007334B1">
      <w:pPr>
        <w:pStyle w:val="ListParagraph"/>
        <w:numPr>
          <w:ilvl w:val="0"/>
          <w:numId w:val="1"/>
        </w:numPr>
        <w:rPr>
          <w:rFonts w:asciiTheme="minorHAnsi" w:hAnsiTheme="minorHAnsi" w:cstheme="minorHAnsi"/>
          <w:b/>
        </w:rPr>
      </w:pPr>
      <w:r w:rsidRPr="00551F46">
        <w:rPr>
          <w:rFonts w:asciiTheme="minorHAnsi" w:hAnsiTheme="minorHAnsi" w:cstheme="minorHAnsi"/>
          <w:b/>
        </w:rPr>
        <w:t>Identity</w:t>
      </w:r>
    </w:p>
    <w:p w14:paraId="0F927A76" w14:textId="77777777" w:rsidR="007334B1" w:rsidRDefault="00D84E00" w:rsidP="00551F46">
      <w:pPr>
        <w:pStyle w:val="ListParagraph"/>
        <w:numPr>
          <w:ilvl w:val="0"/>
          <w:numId w:val="1"/>
        </w:numPr>
        <w:rPr>
          <w:rFonts w:asciiTheme="minorHAnsi" w:hAnsiTheme="minorHAnsi" w:cstheme="minorHAnsi"/>
          <w:b/>
        </w:rPr>
      </w:pPr>
      <w:r>
        <w:rPr>
          <w:rFonts w:asciiTheme="minorHAnsi" w:hAnsiTheme="minorHAnsi" w:cstheme="minorHAnsi"/>
          <w:b/>
        </w:rPr>
        <w:t>Beliefs</w:t>
      </w:r>
      <w:r w:rsidR="007334B1" w:rsidRPr="00551F46">
        <w:rPr>
          <w:rFonts w:asciiTheme="minorHAnsi" w:hAnsiTheme="minorHAnsi" w:cstheme="minorHAnsi"/>
          <w:b/>
        </w:rPr>
        <w:t xml:space="preserve"> about math, competence, knowledge</w:t>
      </w:r>
      <w:r>
        <w:rPr>
          <w:rFonts w:asciiTheme="minorHAnsi" w:hAnsiTheme="minorHAnsi" w:cstheme="minorHAnsi"/>
          <w:b/>
        </w:rPr>
        <w:t xml:space="preserve"> (clarity of purpose; relevance)</w:t>
      </w:r>
    </w:p>
    <w:p w14:paraId="0170C129" w14:textId="77777777" w:rsidR="007334B1" w:rsidRPr="007334B1" w:rsidRDefault="007334B1" w:rsidP="00551F46">
      <w:pPr>
        <w:pStyle w:val="ListParagraph"/>
        <w:numPr>
          <w:ilvl w:val="0"/>
          <w:numId w:val="1"/>
        </w:numPr>
        <w:rPr>
          <w:rFonts w:asciiTheme="minorHAnsi" w:hAnsiTheme="minorHAnsi" w:cstheme="minorHAnsi"/>
          <w:b/>
        </w:rPr>
      </w:pPr>
      <w:r>
        <w:rPr>
          <w:rFonts w:asciiTheme="minorHAnsi" w:hAnsiTheme="minorHAnsi" w:cstheme="minorHAnsi"/>
          <w:b/>
        </w:rPr>
        <w:t>Agency (</w:t>
      </w:r>
      <w:r w:rsidR="00D84E00">
        <w:rPr>
          <w:rFonts w:asciiTheme="minorHAnsi" w:hAnsiTheme="minorHAnsi" w:cstheme="minorHAnsi"/>
          <w:b/>
        </w:rPr>
        <w:t xml:space="preserve">engagement; </w:t>
      </w:r>
      <w:r>
        <w:rPr>
          <w:rFonts w:asciiTheme="minorHAnsi" w:hAnsiTheme="minorHAnsi" w:cstheme="minorHAnsi"/>
          <w:b/>
        </w:rPr>
        <w:t>taking responsibility for learning)</w:t>
      </w:r>
    </w:p>
    <w:p w14:paraId="5DAEEF86" w14:textId="77777777" w:rsidR="007334B1" w:rsidRDefault="007334B1" w:rsidP="00AC15F1">
      <w:pPr>
        <w:spacing w:after="0"/>
        <w:rPr>
          <w:rFonts w:cstheme="minorHAnsi"/>
          <w:b/>
          <w:sz w:val="24"/>
          <w:szCs w:val="24"/>
        </w:rPr>
      </w:pPr>
    </w:p>
    <w:p w14:paraId="1B27D946" w14:textId="05B0F0A8" w:rsidR="00551F46" w:rsidRDefault="00551F46" w:rsidP="00551F46">
      <w:pPr>
        <w:rPr>
          <w:rFonts w:cstheme="minorHAnsi"/>
          <w:sz w:val="24"/>
          <w:szCs w:val="24"/>
        </w:rPr>
      </w:pPr>
      <w:r w:rsidRPr="00551F46">
        <w:rPr>
          <w:rFonts w:cstheme="minorHAnsi"/>
          <w:b/>
          <w:sz w:val="24"/>
          <w:szCs w:val="24"/>
        </w:rPr>
        <w:t>Metacognitive Interventions</w:t>
      </w:r>
      <w:r w:rsidRPr="00551F46">
        <w:rPr>
          <w:rFonts w:cstheme="minorHAnsi"/>
          <w:sz w:val="24"/>
          <w:szCs w:val="24"/>
        </w:rPr>
        <w:t xml:space="preserve">:  These tasks </w:t>
      </w:r>
      <w:r w:rsidR="00A746AD">
        <w:rPr>
          <w:rFonts w:cstheme="minorHAnsi"/>
          <w:sz w:val="24"/>
          <w:szCs w:val="24"/>
        </w:rPr>
        <w:t>are intended to enhance students’</w:t>
      </w:r>
      <w:r w:rsidRPr="00551F46">
        <w:rPr>
          <w:rFonts w:cstheme="minorHAnsi"/>
          <w:sz w:val="24"/>
          <w:szCs w:val="24"/>
        </w:rPr>
        <w:t xml:space="preserve"> ability to be effective learners</w:t>
      </w:r>
      <w:r w:rsidR="00A746AD">
        <w:rPr>
          <w:rFonts w:cstheme="minorHAnsi"/>
          <w:sz w:val="24"/>
          <w:szCs w:val="24"/>
        </w:rPr>
        <w:t>.</w:t>
      </w:r>
      <w:r w:rsidRPr="00551F46">
        <w:rPr>
          <w:rFonts w:cstheme="minorHAnsi"/>
          <w:sz w:val="24"/>
          <w:szCs w:val="24"/>
        </w:rPr>
        <w:t xml:space="preserve">  </w:t>
      </w:r>
      <w:r w:rsidRPr="00251F3B">
        <w:rPr>
          <w:rFonts w:cstheme="minorHAnsi"/>
          <w:sz w:val="24"/>
          <w:szCs w:val="24"/>
          <w:highlight w:val="yellow"/>
        </w:rPr>
        <w:t>(</w:t>
      </w:r>
      <w:proofErr w:type="gramStart"/>
      <w:r w:rsidRPr="00251F3B">
        <w:rPr>
          <w:rFonts w:cstheme="minorHAnsi"/>
          <w:sz w:val="24"/>
          <w:szCs w:val="24"/>
          <w:highlight w:val="yellow"/>
        </w:rPr>
        <w:t>need</w:t>
      </w:r>
      <w:proofErr w:type="gramEnd"/>
      <w:r w:rsidRPr="00251F3B">
        <w:rPr>
          <w:rFonts w:cstheme="minorHAnsi"/>
          <w:sz w:val="24"/>
          <w:szCs w:val="24"/>
          <w:highlight w:val="yellow"/>
        </w:rPr>
        <w:t xml:space="preserve"> to flesh out).</w:t>
      </w:r>
      <w:r w:rsidRPr="00551F46">
        <w:rPr>
          <w:rFonts w:cstheme="minorHAnsi"/>
          <w:sz w:val="24"/>
          <w:szCs w:val="24"/>
        </w:rPr>
        <w:t xml:space="preserve"> </w:t>
      </w:r>
    </w:p>
    <w:p w14:paraId="049F5FD8" w14:textId="77777777" w:rsidR="00A746AD" w:rsidRDefault="00A746AD" w:rsidP="007334B1">
      <w:pPr>
        <w:pStyle w:val="ListParagraph"/>
        <w:numPr>
          <w:ilvl w:val="0"/>
          <w:numId w:val="1"/>
        </w:numPr>
        <w:rPr>
          <w:rFonts w:asciiTheme="minorHAnsi" w:hAnsiTheme="minorHAnsi" w:cstheme="minorHAnsi"/>
          <w:b/>
        </w:rPr>
      </w:pPr>
      <w:r>
        <w:rPr>
          <w:rFonts w:asciiTheme="minorHAnsi" w:hAnsiTheme="minorHAnsi" w:cstheme="minorHAnsi"/>
          <w:b/>
        </w:rPr>
        <w:t>S</w:t>
      </w:r>
      <w:r w:rsidR="007334B1" w:rsidRPr="00551F46">
        <w:rPr>
          <w:rFonts w:asciiTheme="minorHAnsi" w:hAnsiTheme="minorHAnsi" w:cstheme="minorHAnsi"/>
          <w:b/>
        </w:rPr>
        <w:t>elf-regulated lea</w:t>
      </w:r>
      <w:r>
        <w:rPr>
          <w:rFonts w:asciiTheme="minorHAnsi" w:hAnsiTheme="minorHAnsi" w:cstheme="minorHAnsi"/>
          <w:b/>
        </w:rPr>
        <w:t xml:space="preserve">rning </w:t>
      </w:r>
    </w:p>
    <w:p w14:paraId="62C71F74" w14:textId="1A94A464" w:rsidR="007334B1" w:rsidRDefault="00A746AD" w:rsidP="007334B1">
      <w:pPr>
        <w:pStyle w:val="ListParagraph"/>
        <w:numPr>
          <w:ilvl w:val="0"/>
          <w:numId w:val="1"/>
        </w:numPr>
        <w:rPr>
          <w:rFonts w:asciiTheme="minorHAnsi" w:hAnsiTheme="minorHAnsi" w:cstheme="minorHAnsi"/>
          <w:b/>
        </w:rPr>
      </w:pPr>
      <w:r>
        <w:rPr>
          <w:rFonts w:asciiTheme="minorHAnsi" w:hAnsiTheme="minorHAnsi" w:cstheme="minorHAnsi"/>
          <w:b/>
        </w:rPr>
        <w:t>Emotion regulation</w:t>
      </w:r>
    </w:p>
    <w:p w14:paraId="0C0E9ADB" w14:textId="77777777" w:rsidR="007334B1" w:rsidRPr="00551F46" w:rsidRDefault="007334B1" w:rsidP="00AC15F1">
      <w:pPr>
        <w:spacing w:after="0"/>
        <w:rPr>
          <w:rFonts w:cstheme="minorHAnsi"/>
          <w:sz w:val="24"/>
          <w:szCs w:val="24"/>
        </w:rPr>
      </w:pPr>
    </w:p>
    <w:p w14:paraId="275784BF" w14:textId="77777777" w:rsidR="00551F46" w:rsidRPr="00551F46" w:rsidRDefault="00551F46" w:rsidP="00551F46">
      <w:pPr>
        <w:rPr>
          <w:rFonts w:cstheme="minorHAnsi"/>
          <w:sz w:val="24"/>
          <w:szCs w:val="24"/>
        </w:rPr>
      </w:pPr>
      <w:r w:rsidRPr="00551F46">
        <w:rPr>
          <w:rFonts w:cstheme="minorHAnsi"/>
          <w:b/>
          <w:sz w:val="24"/>
          <w:szCs w:val="24"/>
        </w:rPr>
        <w:t>Community of learners</w:t>
      </w:r>
      <w:r w:rsidRPr="00551F46">
        <w:rPr>
          <w:rFonts w:cstheme="minorHAnsi"/>
          <w:sz w:val="24"/>
          <w:szCs w:val="24"/>
        </w:rPr>
        <w:t xml:space="preserve">:  These tasks are intended to create safe spaces for students to take risks, etc. </w:t>
      </w:r>
      <w:r w:rsidRPr="00251F3B">
        <w:rPr>
          <w:rFonts w:cstheme="minorHAnsi"/>
          <w:sz w:val="24"/>
          <w:szCs w:val="24"/>
          <w:highlight w:val="yellow"/>
        </w:rPr>
        <w:t>(need to flesh out)</w:t>
      </w:r>
    </w:p>
    <w:p w14:paraId="1D6F59EF" w14:textId="4DD25815" w:rsidR="00551F46" w:rsidRDefault="00A746AD" w:rsidP="00A746AD">
      <w:pPr>
        <w:pStyle w:val="ListParagraph"/>
        <w:numPr>
          <w:ilvl w:val="0"/>
          <w:numId w:val="1"/>
        </w:numPr>
        <w:rPr>
          <w:rFonts w:asciiTheme="minorHAnsi" w:hAnsiTheme="minorHAnsi" w:cstheme="minorHAnsi"/>
          <w:b/>
        </w:rPr>
      </w:pPr>
      <w:r>
        <w:rPr>
          <w:rFonts w:asciiTheme="minorHAnsi" w:hAnsiTheme="minorHAnsi" w:cstheme="minorHAnsi"/>
          <w:b/>
        </w:rPr>
        <w:t>E</w:t>
      </w:r>
      <w:r w:rsidR="007334B1">
        <w:rPr>
          <w:rFonts w:asciiTheme="minorHAnsi" w:hAnsiTheme="minorHAnsi" w:cstheme="minorHAnsi"/>
          <w:b/>
        </w:rPr>
        <w:t>ncouraging risk-taking</w:t>
      </w:r>
    </w:p>
    <w:p w14:paraId="53D9EBE2" w14:textId="4700C488" w:rsidR="007334B1" w:rsidRDefault="00A746AD" w:rsidP="00A746AD">
      <w:pPr>
        <w:pStyle w:val="ListParagraph"/>
        <w:numPr>
          <w:ilvl w:val="0"/>
          <w:numId w:val="1"/>
        </w:numPr>
        <w:rPr>
          <w:rFonts w:asciiTheme="minorHAnsi" w:hAnsiTheme="minorHAnsi" w:cstheme="minorHAnsi"/>
          <w:b/>
        </w:rPr>
      </w:pPr>
      <w:r>
        <w:rPr>
          <w:rFonts w:asciiTheme="minorHAnsi" w:hAnsiTheme="minorHAnsi" w:cstheme="minorHAnsi"/>
          <w:b/>
        </w:rPr>
        <w:t>M</w:t>
      </w:r>
      <w:r w:rsidR="00D84E00">
        <w:rPr>
          <w:rFonts w:asciiTheme="minorHAnsi" w:hAnsiTheme="minorHAnsi" w:cstheme="minorHAnsi"/>
          <w:b/>
        </w:rPr>
        <w:t>aking (and learning from) mistakes</w:t>
      </w:r>
      <w:r w:rsidR="00251F3B">
        <w:rPr>
          <w:rFonts w:asciiTheme="minorHAnsi" w:hAnsiTheme="minorHAnsi" w:cstheme="minorHAnsi"/>
          <w:b/>
        </w:rPr>
        <w:t xml:space="preserve"> (“grit”? “</w:t>
      </w:r>
      <w:proofErr w:type="gramStart"/>
      <w:r w:rsidR="00251F3B">
        <w:rPr>
          <w:rFonts w:asciiTheme="minorHAnsi" w:hAnsiTheme="minorHAnsi" w:cstheme="minorHAnsi"/>
          <w:b/>
        </w:rPr>
        <w:t>resilience</w:t>
      </w:r>
      <w:proofErr w:type="gramEnd"/>
      <w:r w:rsidR="00251F3B">
        <w:rPr>
          <w:rFonts w:asciiTheme="minorHAnsi" w:hAnsiTheme="minorHAnsi" w:cstheme="minorHAnsi"/>
          <w:b/>
        </w:rPr>
        <w:t>”?)</w:t>
      </w:r>
    </w:p>
    <w:p w14:paraId="76F79836" w14:textId="77777777" w:rsidR="007334B1" w:rsidRPr="007334B1" w:rsidRDefault="007334B1" w:rsidP="00AC15F1">
      <w:pPr>
        <w:spacing w:after="0"/>
        <w:ind w:left="720"/>
        <w:rPr>
          <w:rFonts w:cstheme="minorHAnsi"/>
          <w:b/>
        </w:rPr>
      </w:pPr>
    </w:p>
    <w:p w14:paraId="13975465" w14:textId="2FE857F0" w:rsidR="00551F46" w:rsidRPr="00A746AD" w:rsidRDefault="00647F14" w:rsidP="00A746AD">
      <w:pPr>
        <w:rPr>
          <w:rFonts w:cstheme="minorHAnsi"/>
          <w:b/>
          <w:sz w:val="24"/>
          <w:szCs w:val="24"/>
        </w:rPr>
      </w:pPr>
      <w:r w:rsidRPr="00A746AD">
        <w:rPr>
          <w:rFonts w:cstheme="minorHAnsi"/>
          <w:b/>
          <w:sz w:val="24"/>
          <w:szCs w:val="24"/>
        </w:rPr>
        <w:t xml:space="preserve"> </w:t>
      </w:r>
      <w:r w:rsidRPr="00A746AD">
        <w:rPr>
          <w:rFonts w:cstheme="minorHAnsi"/>
          <w:b/>
          <w:sz w:val="24"/>
          <w:szCs w:val="24"/>
          <w:highlight w:val="yellow"/>
        </w:rPr>
        <w:t>[</w:t>
      </w:r>
      <w:r w:rsidR="00251F3B">
        <w:rPr>
          <w:rFonts w:cstheme="minorHAnsi"/>
          <w:b/>
          <w:sz w:val="24"/>
          <w:szCs w:val="24"/>
          <w:highlight w:val="yellow"/>
        </w:rPr>
        <w:t xml:space="preserve">How/where does </w:t>
      </w:r>
      <w:r w:rsidR="00251F3B" w:rsidRPr="00251F3B">
        <w:rPr>
          <w:rFonts w:cstheme="minorHAnsi"/>
          <w:b/>
          <w:sz w:val="24"/>
          <w:szCs w:val="24"/>
          <w:highlight w:val="yellow"/>
        </w:rPr>
        <w:t>“</w:t>
      </w:r>
      <w:r w:rsidR="00251F3B" w:rsidRPr="00251F3B">
        <w:rPr>
          <w:rFonts w:cstheme="minorHAnsi"/>
          <w:b/>
          <w:sz w:val="24"/>
          <w:szCs w:val="24"/>
          <w:highlight w:val="yellow"/>
          <w:u w:val="single"/>
        </w:rPr>
        <w:t>multiple ways of demonstrating competence within mathematics</w:t>
      </w:r>
      <w:r w:rsidR="00251F3B" w:rsidRPr="00251F3B">
        <w:rPr>
          <w:rFonts w:cstheme="minorHAnsi"/>
          <w:b/>
          <w:sz w:val="24"/>
          <w:szCs w:val="24"/>
          <w:highlight w:val="yellow"/>
        </w:rPr>
        <w:t>”</w:t>
      </w:r>
      <w:r w:rsidR="00A746AD" w:rsidRPr="00251F3B">
        <w:rPr>
          <w:rFonts w:cstheme="minorHAnsi"/>
          <w:b/>
          <w:sz w:val="24"/>
          <w:szCs w:val="24"/>
          <w:highlight w:val="yellow"/>
        </w:rPr>
        <w:t xml:space="preserve"> </w:t>
      </w:r>
      <w:r w:rsidR="00A746AD" w:rsidRPr="00A746AD">
        <w:rPr>
          <w:rFonts w:cstheme="minorHAnsi"/>
          <w:b/>
          <w:sz w:val="24"/>
          <w:szCs w:val="24"/>
          <w:highlight w:val="yellow"/>
        </w:rPr>
        <w:t xml:space="preserve">fit, or is it a </w:t>
      </w:r>
      <w:r w:rsidRPr="00A746AD">
        <w:rPr>
          <w:rFonts w:cstheme="minorHAnsi"/>
          <w:b/>
          <w:sz w:val="24"/>
          <w:szCs w:val="24"/>
          <w:highlight w:val="yellow"/>
        </w:rPr>
        <w:t>distinct area</w:t>
      </w:r>
      <w:r w:rsidR="00251F3B">
        <w:rPr>
          <w:rFonts w:cstheme="minorHAnsi"/>
          <w:b/>
          <w:sz w:val="24"/>
          <w:szCs w:val="24"/>
          <w:highlight w:val="yellow"/>
        </w:rPr>
        <w:t xml:space="preserve"> of intervention</w:t>
      </w:r>
      <w:r w:rsidRPr="00A746AD">
        <w:rPr>
          <w:rFonts w:cstheme="minorHAnsi"/>
          <w:b/>
          <w:sz w:val="24"/>
          <w:szCs w:val="24"/>
          <w:highlight w:val="yellow"/>
        </w:rPr>
        <w:t>?]</w:t>
      </w:r>
    </w:p>
    <w:p w14:paraId="226B6E18" w14:textId="21BEE942" w:rsidR="00D47E13" w:rsidRPr="00251F3B" w:rsidRDefault="00251F3B" w:rsidP="00251F3B">
      <w:pPr>
        <w:widowControl w:val="0"/>
        <w:autoSpaceDE w:val="0"/>
        <w:autoSpaceDN w:val="0"/>
        <w:adjustRightInd w:val="0"/>
        <w:spacing w:after="0" w:line="240" w:lineRule="auto"/>
        <w:jc w:val="center"/>
        <w:rPr>
          <w:rFonts w:ascii="Times New Roman" w:hAnsi="Times New Roman" w:cs="Times New Roman"/>
          <w:sz w:val="24"/>
          <w:szCs w:val="24"/>
          <w:u w:val="single"/>
        </w:rPr>
      </w:pPr>
      <w:r w:rsidRPr="00251F3B">
        <w:rPr>
          <w:rFonts w:cstheme="minorHAnsi"/>
          <w:b/>
          <w:sz w:val="24"/>
          <w:szCs w:val="24"/>
          <w:u w:val="single"/>
        </w:rPr>
        <w:t>Student Attributes from College Readiness Math Standards</w:t>
      </w:r>
    </w:p>
    <w:p w14:paraId="0E6B578D" w14:textId="77777777" w:rsidR="00D47E13" w:rsidRDefault="00D47E13" w:rsidP="00195417">
      <w:pPr>
        <w:widowControl w:val="0"/>
        <w:autoSpaceDE w:val="0"/>
        <w:autoSpaceDN w:val="0"/>
        <w:adjustRightInd w:val="0"/>
        <w:spacing w:after="0" w:line="240" w:lineRule="auto"/>
        <w:rPr>
          <w:rFonts w:ascii="Times New Roman" w:hAnsi="Times New Roman" w:cs="Times New Roman"/>
          <w:sz w:val="18"/>
          <w:szCs w:val="18"/>
        </w:rPr>
      </w:pPr>
    </w:p>
    <w:p w14:paraId="767CAFD7" w14:textId="77777777" w:rsidR="00551F46" w:rsidRPr="00551F46" w:rsidRDefault="00551F46" w:rsidP="00551F46">
      <w:pPr>
        <w:numPr>
          <w:ilvl w:val="0"/>
          <w:numId w:val="2"/>
        </w:numPr>
        <w:spacing w:after="0" w:line="240" w:lineRule="auto"/>
        <w:rPr>
          <w:rFonts w:cstheme="minorHAnsi"/>
          <w:b/>
          <w:bCs/>
          <w:sz w:val="28"/>
          <w:szCs w:val="28"/>
        </w:rPr>
      </w:pPr>
      <w:r w:rsidRPr="00551F46">
        <w:rPr>
          <w:rFonts w:cstheme="minorHAnsi"/>
          <w:b/>
          <w:bCs/>
          <w:sz w:val="28"/>
          <w:szCs w:val="28"/>
        </w:rPr>
        <w:t>Demonstrating intellectual engagement</w:t>
      </w:r>
    </w:p>
    <w:p w14:paraId="2872BCA0" w14:textId="77777777" w:rsidR="00551F46" w:rsidRPr="00551F46" w:rsidRDefault="00551F46" w:rsidP="00551F46">
      <w:pPr>
        <w:rPr>
          <w:rFonts w:cstheme="minorHAnsi"/>
        </w:rPr>
      </w:pPr>
      <w:r w:rsidRPr="00551F46">
        <w:rPr>
          <w:rFonts w:cstheme="minorHAnsi"/>
        </w:rPr>
        <w:t>Students should perceive mathematics as a way of understanding the world, not just a sequence of algorithms to be memorized and applied. They should actively explore new ideas, posing questions about their meaning, significance, and implications; recognize patterns – as well as deviations from previously learned patterns – in data, diagrams, symbols, and words; and most importantly, be willing to take risks and be challenged as part of the learning process. Contributing to group problem-solving activities, and benefiting from them, is part of that challenge.</w:t>
      </w:r>
    </w:p>
    <w:p w14:paraId="54BB00CB" w14:textId="77777777" w:rsidR="00551F46" w:rsidRPr="00551F46" w:rsidRDefault="00551F46" w:rsidP="00551F46">
      <w:pPr>
        <w:numPr>
          <w:ilvl w:val="0"/>
          <w:numId w:val="2"/>
        </w:numPr>
        <w:spacing w:after="0" w:line="240" w:lineRule="auto"/>
        <w:rPr>
          <w:rFonts w:cstheme="minorHAnsi"/>
          <w:b/>
          <w:bCs/>
          <w:sz w:val="28"/>
          <w:szCs w:val="28"/>
        </w:rPr>
      </w:pPr>
      <w:r w:rsidRPr="00551F46">
        <w:rPr>
          <w:rFonts w:cstheme="minorHAnsi"/>
          <w:b/>
          <w:bCs/>
          <w:sz w:val="28"/>
          <w:szCs w:val="28"/>
        </w:rPr>
        <w:t>Taking responsibility for learning</w:t>
      </w:r>
    </w:p>
    <w:p w14:paraId="251A4E34" w14:textId="77777777" w:rsidR="00551F46" w:rsidRPr="00551F46" w:rsidRDefault="00551F46" w:rsidP="00551F46">
      <w:pPr>
        <w:rPr>
          <w:rFonts w:cstheme="minorHAnsi"/>
        </w:rPr>
      </w:pPr>
      <w:r w:rsidRPr="00551F46">
        <w:rPr>
          <w:rFonts w:cstheme="minorHAnsi"/>
        </w:rPr>
        <w:t xml:space="preserve">If achievement in college has a secret, it might be effective time management. Budgeting the time necessary to be successful involves, above all, attending class regularly and preparing the work assigned conscientiously. In addition, the willingness to examine and learn from one’s own mistakes is essential; to that end, students should be aware of the numerous resources available for support on most college campuses, including math labs, tutoring services, and class notes and supplementary material often posted on the web. </w:t>
      </w:r>
    </w:p>
    <w:p w14:paraId="7D36EE4A" w14:textId="77777777" w:rsidR="00551F46" w:rsidRPr="00551F46" w:rsidRDefault="00551F46" w:rsidP="00551F46">
      <w:pPr>
        <w:numPr>
          <w:ilvl w:val="0"/>
          <w:numId w:val="2"/>
        </w:numPr>
        <w:spacing w:after="0" w:line="240" w:lineRule="auto"/>
        <w:rPr>
          <w:rFonts w:cstheme="minorHAnsi"/>
          <w:b/>
          <w:bCs/>
          <w:sz w:val="28"/>
          <w:szCs w:val="28"/>
        </w:rPr>
      </w:pPr>
      <w:r w:rsidRPr="00551F46">
        <w:rPr>
          <w:rFonts w:cstheme="minorHAnsi"/>
          <w:b/>
          <w:bCs/>
          <w:sz w:val="28"/>
          <w:szCs w:val="28"/>
        </w:rPr>
        <w:lastRenderedPageBreak/>
        <w:t>Persevering when faced with time-consuming or complex tasks</w:t>
      </w:r>
    </w:p>
    <w:p w14:paraId="3F607F13" w14:textId="77777777" w:rsidR="00551F46" w:rsidRPr="00551F46" w:rsidRDefault="00551F46" w:rsidP="00551F46">
      <w:pPr>
        <w:pStyle w:val="NormalWeb"/>
        <w:spacing w:before="0" w:beforeAutospacing="0" w:after="0" w:afterAutospacing="0"/>
        <w:rPr>
          <w:rFonts w:asciiTheme="minorHAnsi" w:hAnsiTheme="minorHAnsi" w:cstheme="minorHAnsi"/>
        </w:rPr>
      </w:pPr>
      <w:r w:rsidRPr="00551F46">
        <w:rPr>
          <w:rFonts w:asciiTheme="minorHAnsi" w:hAnsiTheme="minorHAnsi" w:cstheme="minorHAnsi"/>
        </w:rPr>
        <w:t>Few attributes are more important for success in college work than patience and perseverance. Mathematical problems often involve tasks that require organizing and implementing multiple steps, concepts, or techniques; students need to realize that previously seen examples won’t usually generate adequate answers to these sorts of problems and employ the time and thought that will. Often, this involves the willingness to modify unproductive approaches or change them altogether, effort that’s more than repaid when the correct answer is obtained.</w:t>
      </w:r>
    </w:p>
    <w:p w14:paraId="73F7CED8" w14:textId="77777777" w:rsidR="00551F46" w:rsidRPr="00551F46" w:rsidRDefault="00551F46" w:rsidP="00551F46">
      <w:pPr>
        <w:pStyle w:val="NormalWeb"/>
        <w:spacing w:before="0" w:beforeAutospacing="0" w:after="0" w:afterAutospacing="0"/>
        <w:rPr>
          <w:rFonts w:asciiTheme="minorHAnsi" w:hAnsiTheme="minorHAnsi" w:cstheme="minorHAnsi"/>
        </w:rPr>
      </w:pPr>
    </w:p>
    <w:p w14:paraId="04C73799" w14:textId="77777777" w:rsidR="00551F46" w:rsidRPr="00551F46" w:rsidRDefault="00551F46" w:rsidP="00551F46">
      <w:pPr>
        <w:numPr>
          <w:ilvl w:val="0"/>
          <w:numId w:val="2"/>
        </w:numPr>
        <w:spacing w:after="0" w:line="240" w:lineRule="auto"/>
        <w:rPr>
          <w:rFonts w:cstheme="minorHAnsi"/>
          <w:b/>
          <w:bCs/>
          <w:sz w:val="28"/>
          <w:szCs w:val="28"/>
        </w:rPr>
      </w:pPr>
      <w:r w:rsidRPr="00551F46">
        <w:rPr>
          <w:rFonts w:cstheme="minorHAnsi"/>
          <w:b/>
          <w:bCs/>
          <w:sz w:val="28"/>
          <w:szCs w:val="28"/>
        </w:rPr>
        <w:t>Paying attention to detail</w:t>
      </w:r>
    </w:p>
    <w:p w14:paraId="69AC9743" w14:textId="77777777" w:rsidR="00551F46" w:rsidRDefault="00551F46" w:rsidP="00551F46">
      <w:pPr>
        <w:pStyle w:val="NormalWeb"/>
        <w:spacing w:before="0" w:beforeAutospacing="0" w:after="0" w:afterAutospacing="0"/>
        <w:rPr>
          <w:rFonts w:asciiTheme="minorHAnsi" w:hAnsiTheme="minorHAnsi" w:cstheme="minorHAnsi"/>
        </w:rPr>
      </w:pPr>
      <w:r w:rsidRPr="00551F46">
        <w:rPr>
          <w:rFonts w:asciiTheme="minorHAnsi" w:hAnsiTheme="minorHAnsi" w:cstheme="minorHAnsi"/>
        </w:rPr>
        <w:t>Adopting inadequate methods usually means obtaining faulty results; errors are unavoidable, but students should try to minimize them by correctly following all parts of oral and written directions without needing additional reminders, and developing the habit of checking and re-checking their work so as to minimize notational errors (</w:t>
      </w:r>
      <w:r w:rsidRPr="00551F46">
        <w:rPr>
          <w:rFonts w:asciiTheme="minorHAnsi" w:hAnsiTheme="minorHAnsi" w:cstheme="minorHAnsi"/>
          <w:i/>
          <w:iCs/>
        </w:rPr>
        <w:t>e.g.,</w:t>
      </w:r>
      <w:r w:rsidRPr="00551F46">
        <w:rPr>
          <w:rFonts w:asciiTheme="minorHAnsi" w:hAnsiTheme="minorHAnsi" w:cstheme="minorHAnsi"/>
        </w:rPr>
        <w:t xml:space="preserve"> the accidental transposition of digits, the dropping or altering of algebraic symbols, and/or the incorrect positioning of points on a grid).</w:t>
      </w:r>
    </w:p>
    <w:p w14:paraId="256E7E1C" w14:textId="77777777" w:rsidR="00251F3B" w:rsidRDefault="00251F3B" w:rsidP="00551F46">
      <w:pPr>
        <w:pStyle w:val="NormalWeb"/>
        <w:spacing w:before="0" w:beforeAutospacing="0" w:after="0" w:afterAutospacing="0"/>
        <w:rPr>
          <w:rFonts w:asciiTheme="minorHAnsi" w:hAnsiTheme="minorHAnsi" w:cstheme="minorHAnsi"/>
        </w:rPr>
      </w:pPr>
    </w:p>
    <w:p w14:paraId="1AE8B95D" w14:textId="77777777" w:rsidR="00251F3B" w:rsidRDefault="00251F3B" w:rsidP="00551F46">
      <w:pPr>
        <w:pStyle w:val="NormalWeb"/>
        <w:spacing w:before="0" w:beforeAutospacing="0" w:after="0" w:afterAutospacing="0"/>
        <w:rPr>
          <w:rFonts w:asciiTheme="minorHAnsi" w:hAnsiTheme="minorHAnsi" w:cstheme="minorHAnsi"/>
        </w:rPr>
      </w:pPr>
    </w:p>
    <w:p w14:paraId="606C9233" w14:textId="77777777" w:rsidR="00251F3B" w:rsidRPr="00251F3B" w:rsidRDefault="00251F3B" w:rsidP="00251F3B">
      <w:pPr>
        <w:widowControl w:val="0"/>
        <w:autoSpaceDE w:val="0"/>
        <w:autoSpaceDN w:val="0"/>
        <w:adjustRightInd w:val="0"/>
        <w:spacing w:after="0" w:line="240" w:lineRule="auto"/>
        <w:jc w:val="center"/>
        <w:rPr>
          <w:rFonts w:cstheme="minorHAnsi"/>
          <w:b/>
          <w:sz w:val="24"/>
          <w:szCs w:val="24"/>
          <w:u w:val="single"/>
        </w:rPr>
      </w:pPr>
      <w:r w:rsidRPr="00251F3B">
        <w:rPr>
          <w:rFonts w:cstheme="minorHAnsi"/>
          <w:b/>
          <w:sz w:val="24"/>
          <w:szCs w:val="24"/>
          <w:u w:val="single"/>
        </w:rPr>
        <w:t>Common Core State Standards for Mathematics: Standards for Mathematical Practice</w:t>
      </w:r>
    </w:p>
    <w:p w14:paraId="40319AF3" w14:textId="77777777" w:rsidR="00251F3B" w:rsidRPr="00D47E13" w:rsidRDefault="00251F3B" w:rsidP="00251F3B">
      <w:pPr>
        <w:widowControl w:val="0"/>
        <w:autoSpaceDE w:val="0"/>
        <w:autoSpaceDN w:val="0"/>
        <w:adjustRightInd w:val="0"/>
        <w:spacing w:after="0" w:line="240" w:lineRule="auto"/>
        <w:rPr>
          <w:rFonts w:cstheme="minorHAnsi"/>
          <w:sz w:val="24"/>
          <w:szCs w:val="24"/>
        </w:rPr>
      </w:pPr>
    </w:p>
    <w:p w14:paraId="4A122FBF" w14:textId="77777777" w:rsidR="00251F3B" w:rsidRPr="00D47E13" w:rsidRDefault="00251F3B" w:rsidP="00251F3B">
      <w:pPr>
        <w:widowControl w:val="0"/>
        <w:autoSpaceDE w:val="0"/>
        <w:autoSpaceDN w:val="0"/>
        <w:adjustRightInd w:val="0"/>
        <w:spacing w:after="0" w:line="240" w:lineRule="auto"/>
        <w:rPr>
          <w:rFonts w:cstheme="minorHAnsi"/>
          <w:sz w:val="24"/>
          <w:szCs w:val="24"/>
        </w:rPr>
      </w:pPr>
      <w:r w:rsidRPr="00D47E13">
        <w:rPr>
          <w:rFonts w:cstheme="minorHAnsi"/>
          <w:sz w:val="24"/>
          <w:szCs w:val="24"/>
          <w:highlight w:val="yellow"/>
        </w:rPr>
        <w:t>1 Make sense of problems and persevere in solving them.</w:t>
      </w:r>
    </w:p>
    <w:p w14:paraId="36BE9990" w14:textId="77777777" w:rsidR="00251F3B" w:rsidRPr="00D47E13" w:rsidRDefault="00251F3B" w:rsidP="00251F3B">
      <w:pPr>
        <w:widowControl w:val="0"/>
        <w:autoSpaceDE w:val="0"/>
        <w:autoSpaceDN w:val="0"/>
        <w:adjustRightInd w:val="0"/>
        <w:spacing w:after="0" w:line="240" w:lineRule="auto"/>
        <w:rPr>
          <w:rFonts w:cstheme="minorHAnsi"/>
          <w:sz w:val="24"/>
          <w:szCs w:val="24"/>
        </w:rPr>
      </w:pPr>
    </w:p>
    <w:p w14:paraId="491607B9" w14:textId="77777777" w:rsidR="00251F3B" w:rsidRPr="00D47E13" w:rsidRDefault="00251F3B" w:rsidP="00251F3B">
      <w:pPr>
        <w:widowControl w:val="0"/>
        <w:autoSpaceDE w:val="0"/>
        <w:autoSpaceDN w:val="0"/>
        <w:adjustRightInd w:val="0"/>
        <w:spacing w:after="0" w:line="240" w:lineRule="auto"/>
        <w:rPr>
          <w:rFonts w:cstheme="minorHAnsi"/>
          <w:sz w:val="24"/>
          <w:szCs w:val="24"/>
        </w:rPr>
      </w:pPr>
      <w:r w:rsidRPr="00D47E13">
        <w:rPr>
          <w:rFonts w:cstheme="minorHAnsi"/>
          <w:sz w:val="24"/>
          <w:szCs w:val="24"/>
        </w:rPr>
        <w:t>2 Reason abstractly and quantitatively.</w:t>
      </w:r>
    </w:p>
    <w:p w14:paraId="6D3318F3" w14:textId="77777777" w:rsidR="00251F3B" w:rsidRPr="00D47E13" w:rsidRDefault="00251F3B" w:rsidP="00251F3B">
      <w:pPr>
        <w:widowControl w:val="0"/>
        <w:autoSpaceDE w:val="0"/>
        <w:autoSpaceDN w:val="0"/>
        <w:adjustRightInd w:val="0"/>
        <w:spacing w:after="0" w:line="240" w:lineRule="auto"/>
        <w:rPr>
          <w:rFonts w:cstheme="minorHAnsi"/>
          <w:sz w:val="24"/>
          <w:szCs w:val="24"/>
        </w:rPr>
      </w:pPr>
    </w:p>
    <w:p w14:paraId="5C510CD3" w14:textId="77777777" w:rsidR="00251F3B" w:rsidRPr="00D47E13" w:rsidRDefault="00251F3B" w:rsidP="00251F3B">
      <w:pPr>
        <w:widowControl w:val="0"/>
        <w:autoSpaceDE w:val="0"/>
        <w:autoSpaceDN w:val="0"/>
        <w:adjustRightInd w:val="0"/>
        <w:spacing w:after="0" w:line="240" w:lineRule="auto"/>
        <w:rPr>
          <w:rFonts w:cstheme="minorHAnsi"/>
          <w:sz w:val="24"/>
          <w:szCs w:val="24"/>
        </w:rPr>
      </w:pPr>
      <w:r w:rsidRPr="00D47E13">
        <w:rPr>
          <w:rFonts w:cstheme="minorHAnsi"/>
          <w:sz w:val="24"/>
          <w:szCs w:val="24"/>
        </w:rPr>
        <w:t>3 Construct viable arguments and critique the reasoning of others.</w:t>
      </w:r>
    </w:p>
    <w:p w14:paraId="2C65DFE2" w14:textId="77777777" w:rsidR="00251F3B" w:rsidRPr="00D47E13" w:rsidRDefault="00251F3B" w:rsidP="00251F3B">
      <w:pPr>
        <w:widowControl w:val="0"/>
        <w:autoSpaceDE w:val="0"/>
        <w:autoSpaceDN w:val="0"/>
        <w:adjustRightInd w:val="0"/>
        <w:spacing w:after="0" w:line="240" w:lineRule="auto"/>
        <w:rPr>
          <w:rFonts w:cstheme="minorHAnsi"/>
          <w:sz w:val="24"/>
          <w:szCs w:val="24"/>
        </w:rPr>
      </w:pPr>
    </w:p>
    <w:p w14:paraId="5B4AA3C9" w14:textId="77777777" w:rsidR="00251F3B" w:rsidRPr="00D47E13" w:rsidRDefault="00251F3B" w:rsidP="00251F3B">
      <w:pPr>
        <w:widowControl w:val="0"/>
        <w:autoSpaceDE w:val="0"/>
        <w:autoSpaceDN w:val="0"/>
        <w:adjustRightInd w:val="0"/>
        <w:spacing w:after="0" w:line="240" w:lineRule="auto"/>
        <w:rPr>
          <w:rFonts w:cstheme="minorHAnsi"/>
          <w:sz w:val="24"/>
          <w:szCs w:val="24"/>
        </w:rPr>
      </w:pPr>
      <w:r w:rsidRPr="00D47E13">
        <w:rPr>
          <w:rFonts w:cstheme="minorHAnsi"/>
          <w:sz w:val="24"/>
          <w:szCs w:val="24"/>
        </w:rPr>
        <w:t>4 Model with mathematics.</w:t>
      </w:r>
    </w:p>
    <w:p w14:paraId="597A492F" w14:textId="77777777" w:rsidR="00251F3B" w:rsidRPr="00D47E13" w:rsidRDefault="00251F3B" w:rsidP="00251F3B">
      <w:pPr>
        <w:widowControl w:val="0"/>
        <w:autoSpaceDE w:val="0"/>
        <w:autoSpaceDN w:val="0"/>
        <w:adjustRightInd w:val="0"/>
        <w:spacing w:after="0" w:line="240" w:lineRule="auto"/>
        <w:rPr>
          <w:rFonts w:cstheme="minorHAnsi"/>
          <w:sz w:val="24"/>
          <w:szCs w:val="24"/>
        </w:rPr>
      </w:pPr>
    </w:p>
    <w:p w14:paraId="435670E2" w14:textId="77777777" w:rsidR="00251F3B" w:rsidRPr="00D47E13" w:rsidRDefault="00251F3B" w:rsidP="00251F3B">
      <w:pPr>
        <w:widowControl w:val="0"/>
        <w:autoSpaceDE w:val="0"/>
        <w:autoSpaceDN w:val="0"/>
        <w:adjustRightInd w:val="0"/>
        <w:spacing w:after="0" w:line="240" w:lineRule="auto"/>
        <w:rPr>
          <w:rFonts w:cstheme="minorHAnsi"/>
          <w:sz w:val="24"/>
          <w:szCs w:val="24"/>
        </w:rPr>
      </w:pPr>
      <w:r w:rsidRPr="00D47E13">
        <w:rPr>
          <w:rFonts w:cstheme="minorHAnsi"/>
          <w:sz w:val="24"/>
          <w:szCs w:val="24"/>
        </w:rPr>
        <w:t>5 Use appropriate tools strategically.</w:t>
      </w:r>
    </w:p>
    <w:p w14:paraId="66355BA6" w14:textId="77777777" w:rsidR="00251F3B" w:rsidRPr="00D47E13" w:rsidRDefault="00251F3B" w:rsidP="00251F3B">
      <w:pPr>
        <w:widowControl w:val="0"/>
        <w:autoSpaceDE w:val="0"/>
        <w:autoSpaceDN w:val="0"/>
        <w:adjustRightInd w:val="0"/>
        <w:spacing w:after="0" w:line="240" w:lineRule="auto"/>
        <w:rPr>
          <w:rFonts w:cstheme="minorHAnsi"/>
          <w:sz w:val="24"/>
          <w:szCs w:val="24"/>
        </w:rPr>
      </w:pPr>
    </w:p>
    <w:p w14:paraId="2809EF6F" w14:textId="77777777" w:rsidR="00251F3B" w:rsidRPr="00D47E13" w:rsidRDefault="00251F3B" w:rsidP="00251F3B">
      <w:pPr>
        <w:widowControl w:val="0"/>
        <w:autoSpaceDE w:val="0"/>
        <w:autoSpaceDN w:val="0"/>
        <w:adjustRightInd w:val="0"/>
        <w:spacing w:after="0" w:line="240" w:lineRule="auto"/>
        <w:rPr>
          <w:rFonts w:cstheme="minorHAnsi"/>
          <w:sz w:val="24"/>
          <w:szCs w:val="24"/>
        </w:rPr>
      </w:pPr>
      <w:r w:rsidRPr="00D47E13">
        <w:rPr>
          <w:rFonts w:cstheme="minorHAnsi"/>
          <w:sz w:val="24"/>
          <w:szCs w:val="24"/>
          <w:highlight w:val="yellow"/>
        </w:rPr>
        <w:t>6 Attend to precision.</w:t>
      </w:r>
    </w:p>
    <w:p w14:paraId="20334008" w14:textId="77777777" w:rsidR="00251F3B" w:rsidRPr="00D47E13" w:rsidRDefault="00251F3B" w:rsidP="00251F3B">
      <w:pPr>
        <w:widowControl w:val="0"/>
        <w:autoSpaceDE w:val="0"/>
        <w:autoSpaceDN w:val="0"/>
        <w:adjustRightInd w:val="0"/>
        <w:spacing w:after="0" w:line="240" w:lineRule="auto"/>
        <w:rPr>
          <w:rFonts w:cstheme="minorHAnsi"/>
          <w:sz w:val="24"/>
          <w:szCs w:val="24"/>
        </w:rPr>
      </w:pPr>
    </w:p>
    <w:p w14:paraId="692C2A0D" w14:textId="77777777" w:rsidR="00251F3B" w:rsidRPr="00D47E13" w:rsidRDefault="00251F3B" w:rsidP="00251F3B">
      <w:pPr>
        <w:widowControl w:val="0"/>
        <w:autoSpaceDE w:val="0"/>
        <w:autoSpaceDN w:val="0"/>
        <w:adjustRightInd w:val="0"/>
        <w:spacing w:after="0" w:line="240" w:lineRule="auto"/>
        <w:rPr>
          <w:rFonts w:cstheme="minorHAnsi"/>
          <w:sz w:val="24"/>
          <w:szCs w:val="24"/>
        </w:rPr>
      </w:pPr>
      <w:r w:rsidRPr="00D47E13">
        <w:rPr>
          <w:rFonts w:cstheme="minorHAnsi"/>
          <w:sz w:val="24"/>
          <w:szCs w:val="24"/>
        </w:rPr>
        <w:t>7 Look for and make use of structure.</w:t>
      </w:r>
    </w:p>
    <w:p w14:paraId="5E5628EF" w14:textId="77777777" w:rsidR="00251F3B" w:rsidRPr="00D47E13" w:rsidRDefault="00251F3B" w:rsidP="00251F3B">
      <w:pPr>
        <w:widowControl w:val="0"/>
        <w:autoSpaceDE w:val="0"/>
        <w:autoSpaceDN w:val="0"/>
        <w:adjustRightInd w:val="0"/>
        <w:spacing w:after="0" w:line="240" w:lineRule="auto"/>
        <w:rPr>
          <w:rFonts w:cstheme="minorHAnsi"/>
          <w:sz w:val="24"/>
          <w:szCs w:val="24"/>
        </w:rPr>
      </w:pPr>
    </w:p>
    <w:p w14:paraId="2A6D4E77" w14:textId="77777777" w:rsidR="00251F3B" w:rsidRPr="00D47E13" w:rsidRDefault="00251F3B" w:rsidP="00251F3B">
      <w:pPr>
        <w:widowControl w:val="0"/>
        <w:autoSpaceDE w:val="0"/>
        <w:autoSpaceDN w:val="0"/>
        <w:adjustRightInd w:val="0"/>
        <w:spacing w:after="0" w:line="240" w:lineRule="auto"/>
        <w:rPr>
          <w:rFonts w:cstheme="minorHAnsi"/>
          <w:sz w:val="24"/>
          <w:szCs w:val="24"/>
        </w:rPr>
      </w:pPr>
      <w:proofErr w:type="gramStart"/>
      <w:r w:rsidRPr="00D47E13">
        <w:rPr>
          <w:rFonts w:cstheme="minorHAnsi"/>
          <w:sz w:val="24"/>
          <w:szCs w:val="24"/>
        </w:rPr>
        <w:t>8 Look for and express regularity in repeated reasoning.</w:t>
      </w:r>
      <w:proofErr w:type="gramEnd"/>
    </w:p>
    <w:p w14:paraId="3E67E573" w14:textId="77777777" w:rsidR="00251F3B" w:rsidRDefault="00251F3B" w:rsidP="00251F3B">
      <w:pPr>
        <w:widowControl w:val="0"/>
        <w:autoSpaceDE w:val="0"/>
        <w:autoSpaceDN w:val="0"/>
        <w:adjustRightInd w:val="0"/>
        <w:spacing w:after="0" w:line="240" w:lineRule="auto"/>
        <w:rPr>
          <w:rFonts w:ascii="Times New Roman" w:hAnsi="Times New Roman" w:cs="Times New Roman"/>
          <w:sz w:val="28"/>
          <w:szCs w:val="28"/>
        </w:rPr>
      </w:pPr>
    </w:p>
    <w:p w14:paraId="68352F62" w14:textId="77777777" w:rsidR="00251F3B" w:rsidRDefault="00251F3B" w:rsidP="00251F3B">
      <w:pPr>
        <w:widowControl w:val="0"/>
        <w:autoSpaceDE w:val="0"/>
        <w:autoSpaceDN w:val="0"/>
        <w:adjustRightInd w:val="0"/>
        <w:spacing w:after="0" w:line="240" w:lineRule="auto"/>
        <w:rPr>
          <w:rFonts w:ascii="Times New Roman" w:hAnsi="Times New Roman" w:cs="Times New Roman"/>
          <w:sz w:val="28"/>
          <w:szCs w:val="28"/>
        </w:rPr>
      </w:pPr>
    </w:p>
    <w:p w14:paraId="5B67AAD3" w14:textId="77777777" w:rsidR="00251F3B" w:rsidRPr="00251F3B" w:rsidRDefault="00251F3B" w:rsidP="00251F3B">
      <w:pPr>
        <w:widowControl w:val="0"/>
        <w:autoSpaceDE w:val="0"/>
        <w:autoSpaceDN w:val="0"/>
        <w:adjustRightInd w:val="0"/>
        <w:spacing w:after="0" w:line="240" w:lineRule="auto"/>
        <w:jc w:val="center"/>
        <w:rPr>
          <w:rFonts w:cstheme="minorHAnsi"/>
          <w:b/>
          <w:sz w:val="24"/>
          <w:szCs w:val="24"/>
          <w:u w:val="single"/>
        </w:rPr>
      </w:pPr>
      <w:r w:rsidRPr="00251F3B">
        <w:rPr>
          <w:rFonts w:cstheme="minorHAnsi"/>
          <w:b/>
          <w:sz w:val="24"/>
          <w:szCs w:val="24"/>
          <w:u w:val="single"/>
        </w:rPr>
        <w:t>PISA (</w:t>
      </w:r>
      <w:proofErr w:type="spellStart"/>
      <w:r w:rsidRPr="00251F3B">
        <w:rPr>
          <w:rFonts w:cstheme="minorHAnsi"/>
          <w:b/>
          <w:sz w:val="24"/>
          <w:szCs w:val="24"/>
          <w:u w:val="single"/>
        </w:rPr>
        <w:t>Programme</w:t>
      </w:r>
      <w:proofErr w:type="spellEnd"/>
      <w:r w:rsidRPr="00251F3B">
        <w:rPr>
          <w:rFonts w:cstheme="minorHAnsi"/>
          <w:b/>
          <w:sz w:val="24"/>
          <w:szCs w:val="24"/>
          <w:u w:val="single"/>
        </w:rPr>
        <w:t xml:space="preserve"> in International Student Assessment) Self-Regulated Learning Assessment</w:t>
      </w:r>
    </w:p>
    <w:p w14:paraId="331153E5" w14:textId="77777777" w:rsidR="00251F3B" w:rsidRPr="00D47E13" w:rsidRDefault="00251F3B" w:rsidP="00251F3B">
      <w:pPr>
        <w:widowControl w:val="0"/>
        <w:autoSpaceDE w:val="0"/>
        <w:autoSpaceDN w:val="0"/>
        <w:adjustRightInd w:val="0"/>
        <w:spacing w:after="0" w:line="240" w:lineRule="auto"/>
        <w:rPr>
          <w:rFonts w:cstheme="minorHAnsi"/>
          <w:color w:val="000000"/>
          <w:sz w:val="24"/>
          <w:szCs w:val="24"/>
          <w:lang w:val="en-GB"/>
        </w:rPr>
      </w:pPr>
    </w:p>
    <w:p w14:paraId="3ACC399B" w14:textId="77777777" w:rsidR="00251F3B" w:rsidRPr="00D47E13" w:rsidRDefault="00251F3B" w:rsidP="00251F3B">
      <w:pPr>
        <w:widowControl w:val="0"/>
        <w:autoSpaceDE w:val="0"/>
        <w:autoSpaceDN w:val="0"/>
        <w:adjustRightInd w:val="0"/>
        <w:spacing w:after="0" w:line="240" w:lineRule="auto"/>
        <w:rPr>
          <w:rFonts w:cstheme="minorHAnsi"/>
          <w:color w:val="000000"/>
          <w:sz w:val="24"/>
          <w:szCs w:val="24"/>
          <w:lang w:val="en-GB"/>
        </w:rPr>
      </w:pPr>
      <w:r w:rsidRPr="00D47E13">
        <w:rPr>
          <w:rFonts w:cstheme="minorHAnsi"/>
          <w:color w:val="000000"/>
          <w:sz w:val="24"/>
          <w:szCs w:val="24"/>
          <w:lang w:val="en-GB"/>
        </w:rPr>
        <w:t xml:space="preserve">Four global components of SRL, each with subcomponents </w:t>
      </w:r>
      <w:proofErr w:type="spellStart"/>
      <w:r w:rsidRPr="00D47E13">
        <w:rPr>
          <w:rFonts w:cstheme="minorHAnsi"/>
          <w:color w:val="000000"/>
          <w:sz w:val="24"/>
          <w:szCs w:val="24"/>
          <w:lang w:val="en-GB"/>
        </w:rPr>
        <w:t>totaling</w:t>
      </w:r>
      <w:proofErr w:type="spellEnd"/>
      <w:r w:rsidRPr="00D47E13">
        <w:rPr>
          <w:rFonts w:cstheme="minorHAnsi"/>
          <w:color w:val="000000"/>
          <w:sz w:val="24"/>
          <w:szCs w:val="24"/>
          <w:lang w:val="en-GB"/>
        </w:rPr>
        <w:t xml:space="preserve"> 13 in number: </w:t>
      </w:r>
    </w:p>
    <w:p w14:paraId="47CAB8BD" w14:textId="77777777" w:rsidR="00251F3B" w:rsidRPr="00D47E13" w:rsidRDefault="00251F3B" w:rsidP="00251F3B">
      <w:pPr>
        <w:widowControl w:val="0"/>
        <w:autoSpaceDE w:val="0"/>
        <w:autoSpaceDN w:val="0"/>
        <w:adjustRightInd w:val="0"/>
        <w:spacing w:after="0" w:line="240" w:lineRule="auto"/>
        <w:rPr>
          <w:rFonts w:cstheme="minorHAnsi"/>
          <w:color w:val="000000"/>
          <w:sz w:val="24"/>
          <w:szCs w:val="24"/>
          <w:lang w:val="en-GB"/>
        </w:rPr>
      </w:pPr>
    </w:p>
    <w:p w14:paraId="471E04CC" w14:textId="77777777" w:rsidR="00251F3B" w:rsidRPr="00D47E13" w:rsidRDefault="00251F3B" w:rsidP="00251F3B">
      <w:pPr>
        <w:pStyle w:val="ListParagraph"/>
        <w:widowControl w:val="0"/>
        <w:numPr>
          <w:ilvl w:val="0"/>
          <w:numId w:val="3"/>
        </w:numPr>
        <w:autoSpaceDE w:val="0"/>
        <w:autoSpaceDN w:val="0"/>
        <w:adjustRightInd w:val="0"/>
        <w:rPr>
          <w:rFonts w:cstheme="minorHAnsi"/>
          <w:color w:val="000000"/>
          <w:lang w:val="en-GB"/>
        </w:rPr>
      </w:pPr>
      <w:r w:rsidRPr="00D47E13">
        <w:rPr>
          <w:rFonts w:cstheme="minorHAnsi"/>
          <w:color w:val="000000"/>
          <w:lang w:val="en-GB"/>
        </w:rPr>
        <w:t xml:space="preserve">cognitive and metacognitive learning strategies (including memorization, elaboration, and control strategies); </w:t>
      </w:r>
    </w:p>
    <w:p w14:paraId="65AAF3A7" w14:textId="77777777" w:rsidR="00251F3B" w:rsidRPr="00D47E13" w:rsidRDefault="00251F3B" w:rsidP="00251F3B">
      <w:pPr>
        <w:pStyle w:val="ListParagraph"/>
        <w:widowControl w:val="0"/>
        <w:numPr>
          <w:ilvl w:val="0"/>
          <w:numId w:val="3"/>
        </w:numPr>
        <w:autoSpaceDE w:val="0"/>
        <w:autoSpaceDN w:val="0"/>
        <w:adjustRightInd w:val="0"/>
        <w:rPr>
          <w:rFonts w:cstheme="minorHAnsi"/>
          <w:color w:val="000000"/>
          <w:lang w:val="en-GB"/>
        </w:rPr>
      </w:pPr>
      <w:r w:rsidRPr="00D47E13">
        <w:rPr>
          <w:rFonts w:cstheme="minorHAnsi"/>
          <w:color w:val="000000"/>
          <w:lang w:val="en-GB"/>
        </w:rPr>
        <w:t xml:space="preserve">motivation and interest (including instrumental motivation, interest in reading and mathematics, and effort and perseverance); </w:t>
      </w:r>
    </w:p>
    <w:p w14:paraId="6A523CEF" w14:textId="77777777" w:rsidR="00251F3B" w:rsidRPr="00D47E13" w:rsidRDefault="00251F3B" w:rsidP="00251F3B">
      <w:pPr>
        <w:pStyle w:val="ListParagraph"/>
        <w:widowControl w:val="0"/>
        <w:numPr>
          <w:ilvl w:val="0"/>
          <w:numId w:val="3"/>
        </w:numPr>
        <w:autoSpaceDE w:val="0"/>
        <w:autoSpaceDN w:val="0"/>
        <w:adjustRightInd w:val="0"/>
        <w:rPr>
          <w:rFonts w:cstheme="minorHAnsi"/>
          <w:color w:val="000000"/>
          <w:lang w:val="en-GB"/>
        </w:rPr>
      </w:pPr>
      <w:r w:rsidRPr="00D47E13">
        <w:rPr>
          <w:rFonts w:cstheme="minorHAnsi"/>
          <w:color w:val="000000"/>
          <w:lang w:val="en-GB"/>
        </w:rPr>
        <w:t xml:space="preserve">self-concept (including perceived self-efficacy, self concept in reading and mathematics, and academic self concept); and </w:t>
      </w:r>
    </w:p>
    <w:p w14:paraId="6D1BD94F" w14:textId="3E8F643A" w:rsidR="00251F3B" w:rsidRPr="00251F3B" w:rsidRDefault="00251F3B" w:rsidP="00551F46">
      <w:pPr>
        <w:pStyle w:val="ListParagraph"/>
        <w:widowControl w:val="0"/>
        <w:numPr>
          <w:ilvl w:val="0"/>
          <w:numId w:val="3"/>
        </w:numPr>
        <w:autoSpaceDE w:val="0"/>
        <w:autoSpaceDN w:val="0"/>
        <w:adjustRightInd w:val="0"/>
        <w:rPr>
          <w:rFonts w:cstheme="minorHAnsi"/>
        </w:rPr>
      </w:pPr>
      <w:r w:rsidRPr="00D47E13">
        <w:rPr>
          <w:rFonts w:cstheme="minorHAnsi"/>
          <w:color w:val="000000"/>
          <w:lang w:val="en-GB"/>
        </w:rPr>
        <w:t>reference for learning situations (including cooperative and competitive learning)</w:t>
      </w:r>
    </w:p>
    <w:sectPr w:rsidR="00251F3B" w:rsidRPr="00251F3B" w:rsidSect="00551F4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MS Mincho">
    <w:altName w:val="Arial Unicode MS"/>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B50F1C"/>
    <w:multiLevelType w:val="hybridMultilevel"/>
    <w:tmpl w:val="B5809C0A"/>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526652CD"/>
    <w:multiLevelType w:val="hybridMultilevel"/>
    <w:tmpl w:val="DA347F9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7DE3405C"/>
    <w:multiLevelType w:val="hybridMultilevel"/>
    <w:tmpl w:val="859E8E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F46"/>
    <w:rsid w:val="00195417"/>
    <w:rsid w:val="00251F3B"/>
    <w:rsid w:val="00351C00"/>
    <w:rsid w:val="00551F46"/>
    <w:rsid w:val="00566AD8"/>
    <w:rsid w:val="00647F14"/>
    <w:rsid w:val="007334B1"/>
    <w:rsid w:val="008030BA"/>
    <w:rsid w:val="009F5383"/>
    <w:rsid w:val="00A746AD"/>
    <w:rsid w:val="00AC15F1"/>
    <w:rsid w:val="00C3582C"/>
    <w:rsid w:val="00D47E13"/>
    <w:rsid w:val="00D84E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28A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1F46"/>
    <w:pPr>
      <w:spacing w:after="0" w:line="240" w:lineRule="auto"/>
      <w:ind w:left="720"/>
      <w:contextualSpacing/>
    </w:pPr>
    <w:rPr>
      <w:rFonts w:ascii="Arial" w:eastAsia="MS Mincho" w:hAnsi="Arial" w:cs="Times New Roman"/>
      <w:sz w:val="24"/>
      <w:szCs w:val="24"/>
      <w:lang w:eastAsia="ja-JP"/>
    </w:rPr>
  </w:style>
  <w:style w:type="paragraph" w:styleId="NormalWeb">
    <w:name w:val="Normal (Web)"/>
    <w:basedOn w:val="Normal"/>
    <w:rsid w:val="00551F46"/>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1F46"/>
    <w:pPr>
      <w:spacing w:after="0" w:line="240" w:lineRule="auto"/>
      <w:ind w:left="720"/>
      <w:contextualSpacing/>
    </w:pPr>
    <w:rPr>
      <w:rFonts w:ascii="Arial" w:eastAsia="MS Mincho" w:hAnsi="Arial" w:cs="Times New Roman"/>
      <w:sz w:val="24"/>
      <w:szCs w:val="24"/>
      <w:lang w:eastAsia="ja-JP"/>
    </w:rPr>
  </w:style>
  <w:style w:type="paragraph" w:styleId="NormalWeb">
    <w:name w:val="Normal (Web)"/>
    <w:basedOn w:val="Normal"/>
    <w:rsid w:val="00551F4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691</Words>
  <Characters>3944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Eleni Palmisano</dc:creator>
  <cp:lastModifiedBy>Eleni Palmisano</cp:lastModifiedBy>
  <cp:revision>2</cp:revision>
  <dcterms:created xsi:type="dcterms:W3CDTF">2011-08-14T06:00:00Z</dcterms:created>
  <dcterms:modified xsi:type="dcterms:W3CDTF">2011-08-14T06:00:00Z</dcterms:modified>
</cp:coreProperties>
</file>